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EE" w:rsidRPr="001918AF" w:rsidRDefault="00A266A0" w:rsidP="001918A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надання часткової компенсації </w:t>
      </w:r>
      <w:r w:rsidR="001918AF" w:rsidRPr="00191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суб’єктам господарювання для відновлення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України, за рахунок коштів бюджету </w:t>
      </w:r>
      <w:proofErr w:type="spellStart"/>
      <w:r w:rsidR="001918AF" w:rsidRPr="001918AF">
        <w:rPr>
          <w:rFonts w:ascii="Times New Roman" w:hAnsi="Times New Roman" w:cs="Times New Roman"/>
          <w:b/>
          <w:sz w:val="28"/>
          <w:szCs w:val="28"/>
          <w:lang w:val="uk-UA"/>
        </w:rPr>
        <w:t>Нетішинської</w:t>
      </w:r>
      <w:proofErr w:type="spellEnd"/>
      <w:r w:rsidR="001918AF" w:rsidRPr="001918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27594B" w:rsidRDefault="0027594B" w:rsidP="001918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8AF" w:rsidRDefault="001918AF" w:rsidP="001918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8AF">
        <w:rPr>
          <w:rFonts w:ascii="Times New Roman" w:hAnsi="Times New Roman" w:cs="Times New Roman"/>
          <w:sz w:val="28"/>
          <w:szCs w:val="28"/>
          <w:lang w:val="uk-UA"/>
        </w:rPr>
        <w:t>Відповідно до програми часткової компенсації суб’єктам господарювання для відновлення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Pr="001918AF">
        <w:rPr>
          <w:rFonts w:ascii="Times New Roman" w:hAnsi="Times New Roman" w:cs="Times New Roman"/>
          <w:sz w:val="28"/>
          <w:szCs w:val="28"/>
          <w:lang w:val="uk-UA"/>
        </w:rPr>
        <w:t>нерухомого майна, пошкодженого внаслідок бойових дій, терористичних актів, диверсій, спричинених збройною агресією російської федерації проти України,</w:t>
      </w:r>
      <w:r w:rsidR="00580964">
        <w:rPr>
          <w:rFonts w:ascii="Times New Roman" w:hAnsi="Times New Roman" w:cs="Times New Roman"/>
          <w:sz w:val="28"/>
          <w:szCs w:val="28"/>
          <w:lang w:val="uk-UA"/>
        </w:rPr>
        <w:t xml:space="preserve"> на 2023 – 2024 роки,</w:t>
      </w:r>
      <w:bookmarkStart w:id="0" w:name="_GoBack"/>
      <w:bookmarkEnd w:id="0"/>
      <w:r w:rsidR="006832C0">
        <w:rPr>
          <w:rFonts w:ascii="Times New Roman" w:hAnsi="Times New Roman" w:cs="Times New Roman"/>
          <w:sz w:val="28"/>
          <w:szCs w:val="28"/>
          <w:lang w:val="uk-UA"/>
        </w:rPr>
        <w:t xml:space="preserve"> протоколу №1 засідання комісії з надання </w:t>
      </w:r>
      <w:r w:rsidR="006832C0" w:rsidRPr="001918AF">
        <w:rPr>
          <w:rFonts w:ascii="Times New Roman" w:hAnsi="Times New Roman" w:cs="Times New Roman"/>
          <w:sz w:val="28"/>
          <w:szCs w:val="28"/>
          <w:lang w:val="uk-UA"/>
        </w:rPr>
        <w:t>часткової компенсації суб’єктам господарювання для відновлення</w:t>
      </w:r>
      <w:r w:rsidR="006832C0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6832C0" w:rsidRPr="001918AF">
        <w:rPr>
          <w:rFonts w:ascii="Times New Roman" w:hAnsi="Times New Roman" w:cs="Times New Roman"/>
          <w:sz w:val="28"/>
          <w:szCs w:val="28"/>
          <w:lang w:val="uk-UA"/>
        </w:rPr>
        <w:t>нерухомого майна, пошкодженого внаслідок бойових дій, терористичних актів, диверсій, спричинених збройною агресією російської федерації проти України</w:t>
      </w:r>
      <w:r w:rsidR="006832C0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="006832C0">
        <w:rPr>
          <w:rFonts w:ascii="Times New Roman" w:hAnsi="Times New Roman" w:cs="Times New Roman"/>
          <w:sz w:val="28"/>
          <w:szCs w:val="28"/>
          <w:lang w:val="uk-UA"/>
        </w:rPr>
        <w:t xml:space="preserve">рахунок коштів бюджету </w:t>
      </w:r>
      <w:proofErr w:type="spellStart"/>
      <w:r w:rsidR="006832C0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6832C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8AF">
        <w:rPr>
          <w:rFonts w:ascii="Times New Roman" w:hAnsi="Times New Roman" w:cs="Times New Roman"/>
          <w:sz w:val="28"/>
          <w:szCs w:val="28"/>
          <w:lang w:val="uk-UA"/>
        </w:rPr>
        <w:t xml:space="preserve">у 2023 році </w:t>
      </w:r>
      <w:r w:rsidR="00E328C7">
        <w:rPr>
          <w:rFonts w:ascii="Times New Roman" w:hAnsi="Times New Roman" w:cs="Times New Roman"/>
          <w:sz w:val="28"/>
          <w:szCs w:val="28"/>
          <w:lang w:val="uk-UA"/>
        </w:rPr>
        <w:t>з метою отримання відповідної компенсації звернувся один суб’єкт</w:t>
      </w:r>
      <w:r w:rsidR="00A7005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господарювання, якому надано часткову компенсацію у сумі 21822</w:t>
      </w:r>
      <w:r w:rsidR="006C22BE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A70050">
        <w:rPr>
          <w:rFonts w:ascii="Times New Roman" w:hAnsi="Times New Roman" w:cs="Times New Roman"/>
          <w:sz w:val="28"/>
          <w:szCs w:val="28"/>
          <w:lang w:val="uk-UA"/>
        </w:rPr>
        <w:t xml:space="preserve"> гривні</w:t>
      </w:r>
      <w:r w:rsidR="00545C6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бюджету </w:t>
      </w:r>
      <w:proofErr w:type="spellStart"/>
      <w:r w:rsidR="00545C6A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545C6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A700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94B" w:rsidRPr="001918AF" w:rsidRDefault="0027594B" w:rsidP="001918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94B" w:rsidRPr="0027594B" w:rsidRDefault="0027594B" w:rsidP="0027594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ЧЕК-ЛИСТ</w:t>
      </w:r>
    </w:p>
    <w:p w:rsidR="0027594B" w:rsidRPr="0027594B" w:rsidRDefault="0027594B" w:rsidP="0027594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 визначення розміру компенсації для відновлення пошкодженого об’єкта нерухомого майна</w:t>
      </w:r>
    </w:p>
    <w:p w:rsidR="0027594B" w:rsidRPr="0027594B" w:rsidRDefault="0027594B" w:rsidP="0027594B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ПАТ «</w:t>
      </w:r>
      <w:proofErr w:type="spellStart"/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Енергоінвестбуд</w:t>
      </w:r>
      <w:proofErr w:type="spellEnd"/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4033"/>
      </w:tblGrid>
      <w:tr w:rsidR="0027594B" w:rsidRPr="0027594B" w:rsidTr="00771AA1">
        <w:trPr>
          <w:trHeight w:val="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Критерії відповідності заяви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Результат</w:t>
            </w:r>
          </w:p>
        </w:tc>
      </w:tr>
      <w:tr w:rsidR="0027594B" w:rsidRPr="0027594B" w:rsidTr="00771AA1">
        <w:trPr>
          <w:trHeight w:val="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Типи об’єктів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так</w:t>
            </w:r>
          </w:p>
        </w:tc>
      </w:tr>
      <w:tr w:rsidR="0027594B" w:rsidRPr="0027594B" w:rsidTr="00771AA1">
        <w:trPr>
          <w:trHeight w:val="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 проведено ремонт на момент складення чек-листа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частково</w:t>
            </w:r>
          </w:p>
        </w:tc>
      </w:tr>
      <w:tr w:rsidR="0027594B" w:rsidRPr="0027594B" w:rsidTr="00771AA1">
        <w:trPr>
          <w:trHeight w:val="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 наявні у об’єкта нерухомого майна пошкодження, які могли вплинути на несучу здатність конструкцій такого об’єкта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</w:t>
            </w:r>
          </w:p>
        </w:tc>
      </w:tr>
    </w:tbl>
    <w:p w:rsidR="0027594B" w:rsidRPr="0027594B" w:rsidRDefault="0027594B" w:rsidP="00275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594B" w:rsidRPr="0027594B" w:rsidRDefault="0027594B" w:rsidP="00275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ПЕРЕЛІК</w:t>
      </w:r>
    </w:p>
    <w:p w:rsidR="0027594B" w:rsidRPr="0027594B" w:rsidRDefault="0027594B" w:rsidP="00275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2759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робіт, які необхідно виконати для відновлення експлуатаційної придатності об’єкта</w:t>
      </w:r>
    </w:p>
    <w:tbl>
      <w:tblPr>
        <w:tblW w:w="956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1273"/>
        <w:gridCol w:w="1399"/>
        <w:gridCol w:w="1628"/>
      </w:tblGrid>
      <w:tr w:rsidR="0027594B" w:rsidRPr="006832C0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Перелік ремонтних робіт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108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Одиниці</w:t>
            </w:r>
          </w:p>
          <w:p w:rsidR="0027594B" w:rsidRPr="0027594B" w:rsidRDefault="0027594B" w:rsidP="0027594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вимірю-</w:t>
            </w: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вання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89" w:right="-12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Обсяг робіт, який підлягає компенсації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3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Сума компенсації, гривень</w:t>
            </w:r>
          </w:p>
          <w:p w:rsidR="0027594B" w:rsidRPr="0027594B" w:rsidRDefault="0027594B" w:rsidP="0027594B">
            <w:pPr>
              <w:spacing w:after="0" w:line="240" w:lineRule="auto"/>
              <w:ind w:left="-93" w:right="-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uk-UA"/>
              </w:rPr>
            </w:pP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(розрахована відповідно до кошторисних норм України у будівництві)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Дах/покрівля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покрівлі локально (заміна пошкодженого покрівельного матеріалу - хвилястого шиферу або черепиці, або профільованого листа) без заміни опорних конструкцій та кроквяних систем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6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Заміна кроквяних ніг із брусів (в разі локальних пошкоджень кроквяних ніг додатково до пункту 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пог.м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покрівлі (заміна пошкодженого покрівельного матеріалу, зокрема: обрешітки, паро-, гідро- та теплоізоляційних шарів, металочерепиці або бітумної черепиці, або профільованого листа, гребеневих та карнизних планок, герметизація стиків силіконом) без заміни опорних конструкцій та кроквяних систем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Відновлення частини пошкодженого даху з ремонтом або частковою заміною кроквяних систем та покрівлі (заміна пошкодженого покрівельного матеріалу, зокрема: обрешітки, паро-, гідро- та теплоізоляційних шарів, металочерепиці або бітумної черепиці, або профільованого листа; гребеневих, карнизних,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примикаючих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планок,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крапельників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снігозатримувачів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слухових вікон, герметизація стиків силіконом) на площі до 25 відсотків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поверхонь покрівлі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Відновлення пошкодженого даху із заміною опорних конструкцій та кроквяних систем (заміна пошкодженого покрівельного матеріалу, зокрема: обрешітки, паро-, гідро- та теплоізоляційних шарів, металочерепиці або бітумної черепиці, або профільованого листа; гребеневих, карнизних,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примикаючих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планок,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крапельників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снігозатримувачів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слухових вікон, герметизація стиків силіконом) на площі більше 25 відсотків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поверхонь покрівлі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Прорізи</w:t>
            </w:r>
          </w:p>
        </w:tc>
      </w:tr>
      <w:tr w:rsidR="0027594B" w:rsidRPr="0027594B" w:rsidTr="00771AA1">
        <w:trPr>
          <w:trHeight w:val="510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Заміна пошкодженого скління/склопакетів (без заміни рами вікна, або скління)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42,53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21822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Заміна віконного блока з урахуванням підвіконня, відливів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Відновлення укосів (штукатурка,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безпіщана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підготовка, фарбування)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пошкоджених зовнішніх укосів з урахуванням утеплення та зовнішнього оздоб-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лення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(утеплення, штукатурення, фарбування)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кв</w:t>
            </w:r>
            <w:proofErr w:type="spellEnd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м </w:t>
            </w: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(розраховується лише та площа, яка має пошкодження)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Фасади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пошкоджених фасадів з урахуванням утеплення та зовнішнього оздоблення (утеплення, штукатурення, фарбування)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кв</w:t>
            </w:r>
            <w:proofErr w:type="spellEnd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м </w:t>
            </w: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(розраховується лише та площа, яка має пошкодження)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Відновлення пошкодженого декоративного шару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камінцевої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штукатурки оздоблення утеплених фасадів без урахування утеплювача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кв</w:t>
            </w:r>
            <w:proofErr w:type="spellEnd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м </w:t>
            </w: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(розраховується лише та площа, яка має пошкодження)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декоративного штукатурення фасадів без урахування утеплювача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фарбування фасадів без урахування утеплювача та штукатурного шару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Перекриття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Розбирання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перекриттів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по балках в цегляних будівлях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Улаштування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перекриттів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по балках з щитовим накатом в цегляних будівлях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Розбирання монолітних/залізобетонних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перекриттів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товщ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 200 міліметрів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41" w:right="-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 w:eastAsia="uk-UA"/>
              </w:rPr>
              <w:t>Відновлення цілісності пошкодженого монолітного/</w:t>
            </w: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залізобетонного перекриття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товщ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 200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мілімет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-рів або ґанків та сходів (горизонтальна проекція)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Стіни/перегородки/стеля опорядження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Розбирання пошкоджених стін та перегородок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Мурування стін з урахуванням прорізів та влаштуванням перемичок (зокрема фронтонів, димарів, вентиляційних каналів)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Мурування внутрішніх перегородок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Відбивання пошкодженої штукатурки стін та перегородок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Штукатурення стін та перегородок,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безпіщана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підготовка під фарбування/шпалери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Підготовка стель під внутрішнє опорядження з попереднім розчищенням фарби, кіптяви, смогу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внутрішнього опорядження стін (фарбування)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внутрішнього опорядження стін (шпалери)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внутрішнього опорядження стін (керамічна плитка)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обшивки стін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гіпсокартонними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плитами (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фальшстіни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 по металевому каркасу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обшивки укосів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гіпсокартонними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листами з кріпленням на клеї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перегородок на металевому однорядному каркасі з обшивкою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гіпсокартонними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листами в один шар з ізоляцією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внутрішнього опорядження стелі (фарбування)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пошкодженого внутрішнього опорядження стелі (шпалери)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Відновлення пошкодженого внутрішнього опорядження підвісних стель з влаштуванням каркаса (підвісні стелі (комплекти); панелі; підвісні профілі; підвісні каркаси;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гіпсокартонні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елементи з тонким ламінуванням; волокнисті гіпсові плити; волокнисті гіпсові та композитні панелі;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гіпсокартонні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плити)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Підлоги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Розбирання цементних покриттів підлог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Влаштування гідроізоляції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Влаштування стяжок цементних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товщ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                            60 міліметрів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підлоги з керамічної плитки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підлоги з ламінату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підлоги з паркету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стяжок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самовирівнювальних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 суміші цементної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підлоги з лінолеуму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Заміна окремих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дощок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у підлогах (у разі локальних пошкоджень)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пог.м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дощатих підлог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69" w:right="-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Фарбування дощатих підлог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Внутрішні інженерні системи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пошкодженої частини інженерної системи з метою відновлення функціональності будинку: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одне місце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1) водопроводу - відновлення пошкоджених ділянок труб в межах будинку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одне місце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2) каналізації - відновлення пошкоджених ділянок труб в межах будинку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одне місце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3) опалення - відновлення пошкоджених ділянок труб та заміна опалювального приладу в межах будинку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одне місце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Ревізія і прочистка вентиляційних та димохідних каналів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пог.м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Прочищення внутрішньої каналізаційної мережі (відкривання кришок ревізій, прочищення сталевою щіткою трубопроводу від однієї ревізії до іншої, промивання трубопроводу через санітарні прилади, закривання кришок ревізій з установленням прокладок)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пог.м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Фундаменти, цоколі, вимощення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 w:eastAsia="uk-UA"/>
              </w:rPr>
              <w:t>Відновлення захисного шару фундаментів (доробка</w:t>
            </w: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розмитого ґрунту, оббивання неміцного шару бетону, очищення поверхні арматури від бетону, знепилювання, зволоження поверхні, нанесення контактного шару, нанесення відновлювального шару з ремонтного розчину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товщ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30 міліметрів), зворотна засипка ґрунтом з трамбуванням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кв</w:t>
            </w:r>
            <w:proofErr w:type="spellEnd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м </w:t>
            </w: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пошкодженої поверхні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Відновлення гідроізоляції (зовнішні/внутрішні поверхні фундаментів або стін підвалів)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горизонтальної ізоляції в цоколі </w:t>
            </w:r>
            <w:r w:rsidRPr="0027594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uk-UA"/>
              </w:rPr>
              <w:t xml:space="preserve">існуючих будівель (пробивання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uk-UA"/>
              </w:rPr>
              <w:t>борозен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uk-UA"/>
              </w:rPr>
              <w:t xml:space="preserve"> ділянками</w:t>
            </w: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завдовжки 1-1,5 метра на половину товщини стіни з одного боку; очищення та вирівнювання поверхні цементним розчином; прокладання гідроізоляційного рулонного матеріалу; забивання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борозен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цементним розчином; пробивання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борозен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 іншого боку, очищення, вирівнювання розчином, прокладання гідроізоляційного рулонного матеріалу, забивання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борозен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пог</w:t>
            </w:r>
            <w:proofErr w:type="spellEnd"/>
            <w:r w:rsidRPr="00275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м </w:t>
            </w:r>
            <w:r w:rsidRPr="0027594B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uk-UA" w:eastAsia="ru-RU"/>
              </w:rPr>
              <w:t>горизонтальної проекції цоколю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вимощення з асфальтобетонної суміші (планування основи, змащування в’яжучими розрідженими матеріалами місць примикання, улаштування підстильного шару з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щебеню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завтовшки 15 сантиметрів, улаштування покриття з асфальтобетонної суміші завтовшки 3 сантиметри з укочуванням ручними котками)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  <w:tr w:rsidR="0027594B" w:rsidRPr="0027594B" w:rsidTr="00771AA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55" w:right="-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Улаштування вимощення з бетону з покриттям завтовшки до 10 сантиметрів (планування основи, улаштування піщаного підстильного шару завтовшки 10 сантиметрів, улаштування підстильного шару з </w:t>
            </w:r>
            <w:proofErr w:type="spellStart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щебеню</w:t>
            </w:r>
            <w:proofErr w:type="spellEnd"/>
            <w:r w:rsidRPr="002759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завтовшки 6 сантиметрів, улаштування опалубки та температурних швів, улаштування покриття з бетонної суміші)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4B" w:rsidRPr="0027594B" w:rsidRDefault="0027594B" w:rsidP="0027594B">
            <w:pPr>
              <w:spacing w:after="0" w:line="240" w:lineRule="auto"/>
              <w:ind w:left="-94" w:right="-105"/>
              <w:jc w:val="center"/>
              <w:rPr>
                <w:rFonts w:ascii="Calibri" w:eastAsia="Calibri" w:hAnsi="Calibri" w:cs="Times New Roman"/>
                <w:lang w:val="uk-UA" w:eastAsia="ru-RU"/>
              </w:rPr>
            </w:pPr>
            <w:proofErr w:type="spellStart"/>
            <w:r w:rsidRPr="002759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кв.м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4B" w:rsidRPr="0027594B" w:rsidRDefault="0027594B" w:rsidP="0027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2759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27594B" w:rsidRPr="0027594B" w:rsidRDefault="0027594B" w:rsidP="002759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sectPr w:rsidR="0027594B" w:rsidRPr="0027594B" w:rsidSect="001918A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E7"/>
    <w:rsid w:val="001918AF"/>
    <w:rsid w:val="0027594B"/>
    <w:rsid w:val="002A72EE"/>
    <w:rsid w:val="00545C6A"/>
    <w:rsid w:val="00580964"/>
    <w:rsid w:val="006351EF"/>
    <w:rsid w:val="006832C0"/>
    <w:rsid w:val="006C22BE"/>
    <w:rsid w:val="00A266A0"/>
    <w:rsid w:val="00A70050"/>
    <w:rsid w:val="00E328C7"/>
    <w:rsid w:val="00F307E7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D6E8"/>
  <w15:chartTrackingRefBased/>
  <w15:docId w15:val="{F8AC22F2-365D-4FC1-852A-C76BC32C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Zinchuk</dc:creator>
  <cp:keywords/>
  <dc:description/>
  <cp:lastModifiedBy>Natalia Zinchuk</cp:lastModifiedBy>
  <cp:revision>14</cp:revision>
  <dcterms:created xsi:type="dcterms:W3CDTF">2024-01-04T09:26:00Z</dcterms:created>
  <dcterms:modified xsi:type="dcterms:W3CDTF">2024-01-04T11:36:00Z</dcterms:modified>
</cp:coreProperties>
</file>